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1E3C49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İKTİSADİ VE İDARİ BİLİMLER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CE716C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 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237"/>
        <w:gridCol w:w="3402"/>
      </w:tblGrid>
      <w:tr w:rsidR="00C239A4" w:rsidRPr="002339CF" w:rsidTr="00F743E7">
        <w:trPr>
          <w:trHeight w:hRule="exact" w:val="362"/>
        </w:trPr>
        <w:tc>
          <w:tcPr>
            <w:tcW w:w="62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E5476D" w:rsidTr="00F743E7">
        <w:trPr>
          <w:trHeight w:hRule="exact" w:val="3973"/>
        </w:trPr>
        <w:tc>
          <w:tcPr>
            <w:tcW w:w="62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F743E7" w:rsidRDefault="00F743E7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 çalışmalarda, Üniversitelerarası Kurul’un başvuru tarihinde yürürlükte olan “Do</w:t>
            </w:r>
            <w:r w:rsidR="005A62AD">
              <w:rPr>
                <w:rFonts w:ascii="Times New Roman" w:eastAsia="Times New Roman" w:hAnsi="Times New Roman" w:cs="Times New Roman"/>
                <w:lang w:val="tr-TR"/>
              </w:rPr>
              <w:t xml:space="preserve">çentlik Sınavı Başvuru </w:t>
            </w:r>
            <w:proofErr w:type="spellStart"/>
            <w:r w:rsidR="005A62AD">
              <w:rPr>
                <w:rFonts w:ascii="Times New Roman" w:eastAsia="Times New Roman" w:hAnsi="Times New Roman" w:cs="Times New Roman"/>
                <w:lang w:val="tr-TR"/>
              </w:rPr>
              <w:t>Şartları”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proofErr w:type="spellEnd"/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(adayın hazırladığı lisansüstü tezlerden üretilmiş yayınlara ilişkin karşılanması beklenen asgari koşullar olması halinde, bunlar dikkate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alınmadan) sağlanmış olması.</w:t>
            </w:r>
          </w:p>
          <w:p w:rsidR="00F743E7" w:rsidRDefault="008E0468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</w:t>
            </w:r>
            <w:r w:rsidR="00F743E7"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çalışmalardan en az birinin SSCI/</w:t>
            </w:r>
            <w:r w:rsidR="00A51DEC">
              <w:rPr>
                <w:rFonts w:ascii="Times New Roman" w:eastAsia="Times New Roman" w:hAnsi="Times New Roman" w:cs="Times New Roman"/>
                <w:lang w:val="tr-TR"/>
              </w:rPr>
              <w:t>SCIE/</w:t>
            </w:r>
            <w:r w:rsidR="00F743E7"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AHCI kapsamındaki dergilerde </w:t>
            </w:r>
            <w:r w:rsidR="001E3C49">
              <w:rPr>
                <w:rFonts w:ascii="Times New Roman" w:eastAsia="Times New Roman" w:hAnsi="Times New Roman" w:cs="Times New Roman"/>
                <w:lang w:val="tr-TR"/>
              </w:rPr>
              <w:t>başlıca yazar olarak yayımlanmış makale olması</w:t>
            </w:r>
            <w:r w:rsidR="00F743E7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  <w:p w:rsidR="008E0614" w:rsidRPr="002339CF" w:rsidRDefault="00F743E7" w:rsidP="00E5476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Ekteki eserler listesinde belirtilen yayınlara, uluslararası/ulusal hakemli dergilerde veya tanınmış uluslararası/ulusal yayınevleri tarafından yayımlanmış kitaplarda toplam en az 3 (üç) atıf yapılmış olması.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E5476D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42027"/>
    <w:rsid w:val="0005228B"/>
    <w:rsid w:val="00072953"/>
    <w:rsid w:val="00090FA0"/>
    <w:rsid w:val="00181CC1"/>
    <w:rsid w:val="001E3C49"/>
    <w:rsid w:val="001F1919"/>
    <w:rsid w:val="002339CF"/>
    <w:rsid w:val="00266940"/>
    <w:rsid w:val="002918C4"/>
    <w:rsid w:val="00331FC2"/>
    <w:rsid w:val="00355FB9"/>
    <w:rsid w:val="005412C6"/>
    <w:rsid w:val="00567C3E"/>
    <w:rsid w:val="005A62AD"/>
    <w:rsid w:val="005C074C"/>
    <w:rsid w:val="007D057C"/>
    <w:rsid w:val="008E0468"/>
    <w:rsid w:val="008E0614"/>
    <w:rsid w:val="00971A1C"/>
    <w:rsid w:val="00A053FA"/>
    <w:rsid w:val="00A51DEC"/>
    <w:rsid w:val="00A6768D"/>
    <w:rsid w:val="00AA3B90"/>
    <w:rsid w:val="00AB418B"/>
    <w:rsid w:val="00C239A4"/>
    <w:rsid w:val="00C317FA"/>
    <w:rsid w:val="00CE716C"/>
    <w:rsid w:val="00CF37E5"/>
    <w:rsid w:val="00D3498B"/>
    <w:rsid w:val="00D375CE"/>
    <w:rsid w:val="00DB24A0"/>
    <w:rsid w:val="00DE07AA"/>
    <w:rsid w:val="00DE3ACC"/>
    <w:rsid w:val="00E05A1F"/>
    <w:rsid w:val="00E20960"/>
    <w:rsid w:val="00E2539E"/>
    <w:rsid w:val="00E5476D"/>
    <w:rsid w:val="00F23650"/>
    <w:rsid w:val="00F23E76"/>
    <w:rsid w:val="00F743E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E9B4-A1E2-4E61-883E-AB5E1A2E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2022-06-26T16:26:00Z</dcterms:created>
  <dcterms:modified xsi:type="dcterms:W3CDTF">2022-06-26T16:26:00Z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